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945924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38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Cs w:val="28"/>
        </w:rPr>
        <w:t xml:space="preserve">17.02</w:t>
      </w:r>
      <w:r>
        <w:rPr>
          <w:rFonts w:ascii="Times New Roman" w:hAnsi="Times New Roman" w:eastAsia="Times New Roman" w:cs="Times New Roman"/>
          <w:bCs/>
          <w:szCs w:val="28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3d4146"/>
          <w:sz w:val="28"/>
          <w:szCs w:val="28"/>
        </w:rPr>
        <w:t xml:space="preserve">Росреестр полностью переходит на электронное взаимодействие с юридическими лицами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С 1 марта 2025 года вступает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Росреестром и юридическими лицами. Росре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естр разработал </w:t>
      </w:r>
      <w:hyperlink r:id="rId10" w:tooltip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w:history="1">
        <w:r>
          <w:rPr>
            <w:rStyle w:val="814"/>
            <w:rFonts w:ascii="Times New Roman" w:hAnsi="Times New Roman" w:eastAsia="Times New Roman" w:cs="Times New Roman"/>
            <w:color w:val="0000ee"/>
            <w:sz w:val="28"/>
            <w:szCs w:val="24"/>
            <w:u w:val="single"/>
          </w:rPr>
          <w:t xml:space="preserve">методичку</w:t>
        </w:r>
      </w:hyperlink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, которая поможет разобраться во всех нюансах.</w:t>
        <w:br/>
        <w:br/>
        <w:t xml:space="preserve">Согласно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нной форме. Бумажные документы будут возвращаться без рассмотрения.</w:t>
        <w:br/>
        <w:br/>
        <w:t xml:space="preserve">Исключением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ние), является физическое лицо (кроме договоров участия в долевом строительстве).</w:t>
        <w:br/>
        <w:br/>
        <w:t xml:space="preserve"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  <w:br/>
        <w:br/>
        <w:t xml:space="preserve">Законом также установлено, что юридическое лицо вправе подать документы в регистрирующий орган на бумажном носит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еле при наличии временной технической невозможности обращения в электронной форме.</w:t>
        <w:br/>
        <w:br/>
      </w:r>
      <w:r>
        <w:rPr>
          <w:rFonts w:ascii="Times New Roman" w:hAnsi="Times New Roman" w:eastAsia="Times New Roman" w:cs="Times New Roman"/>
          <w:b/>
          <w:color w:val="292c2f"/>
          <w:sz w:val="28"/>
          <w:szCs w:val="24"/>
        </w:rPr>
        <w:t xml:space="preserve">Регистрация договоров участия в долевом строительстве</w:t>
        <w:br/>
        <w:br/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Договоры участия в долевом строительстве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  <w:br/>
        <w:br/>
        <w:t xml:space="preserve">Закон также обязал зас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тройщиков после подписания передаточного акта самостоятельно направлять в Росреестр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  <w:br/>
        <w:br/>
        <w:t xml:space="preserve">Таким образом, электронный фо</w:t>
      </w: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рмат взаимодействия застройщиков с регистрирующим органом будет обязательным.</w:t>
        <w:br/>
        <w:br/>
        <w:t xml:space="preserve">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недвижимости.</w:t>
        <w:br/>
        <w:br/>
      </w:r>
      <w:r>
        <w:rPr>
          <w:rFonts w:ascii="Times New Roman" w:hAnsi="Times New Roman" w:eastAsia="Times New Roman" w:cs="Times New Roman"/>
          <w:b/>
          <w:color w:val="292c2f"/>
          <w:sz w:val="28"/>
          <w:szCs w:val="24"/>
        </w:rPr>
        <w:t xml:space="preserve">Способы подачи электронных документов в Росреестр: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Личный кабинет на официальном сайте Росреестра;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Сервис прямого доступа (СПД-3);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Сервис взаимодействия с Росреестром и Адаптер электронного взаимодействия (Адаптер);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Федеральная государственная информационная система межведомственного электронного взаимодействия (СМЭВ);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36"/>
        <w:numPr>
          <w:ilvl w:val="0"/>
          <w:numId w:val="1"/>
        </w:numPr>
        <w:ind w:right="0"/>
        <w:spacing w:before="0" w:after="0"/>
        <w:rPr>
          <w:rFonts w:ascii="Times New Roman" w:hAnsi="Times New Roman" w:cs="Times New Roman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92c2f"/>
          <w:sz w:val="28"/>
          <w:szCs w:val="24"/>
        </w:rPr>
        <w:t xml:space="preserve">Иные способы, предусмотренные пунктом 2 части 1 статьи 18 Федерального закона от 13.07.2015 № 218-ФЗ «О государственной регистрации недвижимости».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835"/>
        <w:jc w:val="left"/>
        <w:keepNext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38"/>
        <w:jc w:val="left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838"/>
        <w:jc w:val="left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838"/>
        <w:jc w:val="left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838"/>
        <w:jc w:val="left"/>
      </w:pPr>
      <w:r/>
      <w:hyperlink r:id="rId11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2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3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838"/>
        <w:jc w:val="left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835"/>
        <w:jc w:val="both"/>
        <w:keepNext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ource Han Sans CN Regular">
    <w:panose1 w:val="02020603050405020304"/>
  </w:font>
  <w:font w:name="Symbol">
    <w:panose1 w:val="05010000000000000000"/>
  </w:font>
  <w:font w:name="&amp;apos;PT Astra Serif&amp;apos;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paragraph" w:styleId="838" w:customStyle="1">
    <w:name w:val="Standard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T Astra Serif" w:hAnsi="PT Astra Serif" w:eastAsia="Source Han Sans CN Regular" w:cs="'PT Astra Serif'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TargetMode="External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2025-03-03T02:32:30Z</dcterms:modified>
</cp:coreProperties>
</file>